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616" w:tblpY="740"/>
        <w:tblOverlap w:val="never"/>
        <w:tblW w:w="15154" w:type="dxa"/>
        <w:tblInd w:w="0" w:type="dxa"/>
        <w:tblCellMar>
          <w:top w:w="51" w:type="dxa"/>
          <w:left w:w="109" w:type="dxa"/>
          <w:right w:w="53" w:type="dxa"/>
        </w:tblCellMar>
        <w:tblLook w:val="04A0" w:firstRow="1" w:lastRow="0" w:firstColumn="1" w:lastColumn="0" w:noHBand="0" w:noVBand="1"/>
      </w:tblPr>
      <w:tblGrid>
        <w:gridCol w:w="2920"/>
        <w:gridCol w:w="2769"/>
        <w:gridCol w:w="3513"/>
        <w:gridCol w:w="2648"/>
        <w:gridCol w:w="3304"/>
      </w:tblGrid>
      <w:tr w:rsidR="005A403E">
        <w:trPr>
          <w:trHeight w:val="321"/>
        </w:trPr>
        <w:tc>
          <w:tcPr>
            <w:tcW w:w="292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EAAAA"/>
          </w:tcPr>
          <w:p w:rsidR="005A403E" w:rsidRDefault="00243B3E">
            <w:pPr>
              <w:ind w:left="6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108902</wp:posOffset>
                  </wp:positionH>
                  <wp:positionV relativeFrom="paragraph">
                    <wp:posOffset>47371</wp:posOffset>
                  </wp:positionV>
                  <wp:extent cx="419100" cy="438150"/>
                  <wp:effectExtent l="0" t="0" r="0" b="0"/>
                  <wp:wrapSquare wrapText="bothSides"/>
                  <wp:docPr id="543" name="Picture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Grades 1 to 12 DAILY LESSON LOG</w:t>
            </w:r>
            <w:r>
              <w:t xml:space="preserve"> </w:t>
            </w:r>
          </w:p>
        </w:tc>
        <w:tc>
          <w:tcPr>
            <w:tcW w:w="2769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D9D9D9"/>
          </w:tcPr>
          <w:p w:rsidR="005A403E" w:rsidRDefault="00243B3E">
            <w:pPr>
              <w:ind w:right="52"/>
              <w:jc w:val="right"/>
            </w:pPr>
            <w:r>
              <w:rPr>
                <w:b/>
              </w:rPr>
              <w:t xml:space="preserve">School </w:t>
            </w:r>
          </w:p>
        </w:tc>
        <w:tc>
          <w:tcPr>
            <w:tcW w:w="35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A403E" w:rsidRDefault="00243B3E">
            <w:r>
              <w:t xml:space="preserve"> 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11" w:space="0" w:color="000000"/>
              <w:bottom w:val="single" w:sz="11" w:space="0" w:color="D9D9D9"/>
              <w:right w:val="single" w:sz="11" w:space="0" w:color="000000"/>
            </w:tcBorders>
            <w:shd w:val="clear" w:color="auto" w:fill="D9D9D9"/>
          </w:tcPr>
          <w:p w:rsidR="005A403E" w:rsidRDefault="00243B3E">
            <w:pPr>
              <w:ind w:right="49"/>
              <w:jc w:val="right"/>
            </w:pPr>
            <w:r>
              <w:rPr>
                <w:b/>
              </w:rPr>
              <w:t xml:space="preserve">Grade Level </w:t>
            </w:r>
          </w:p>
        </w:tc>
        <w:tc>
          <w:tcPr>
            <w:tcW w:w="330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</w:rPr>
              <w:t>VI</w:t>
            </w:r>
            <w:r>
              <w:t xml:space="preserve"> </w:t>
            </w:r>
          </w:p>
        </w:tc>
      </w:tr>
      <w:tr w:rsidR="005A403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5A403E" w:rsidRDefault="005A403E"/>
        </w:tc>
        <w:tc>
          <w:tcPr>
            <w:tcW w:w="276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D9D9D9"/>
          </w:tcPr>
          <w:p w:rsidR="005A403E" w:rsidRDefault="00243B3E">
            <w:pPr>
              <w:ind w:right="53"/>
              <w:jc w:val="right"/>
            </w:pPr>
            <w:r>
              <w:rPr>
                <w:b/>
              </w:rPr>
              <w:t xml:space="preserve">Teacher 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A403E" w:rsidRDefault="00243B3E">
            <w:r>
              <w:t xml:space="preserve"> </w:t>
            </w:r>
          </w:p>
        </w:tc>
        <w:tc>
          <w:tcPr>
            <w:tcW w:w="2648" w:type="dxa"/>
            <w:tcBorders>
              <w:top w:val="single" w:sz="11" w:space="0" w:color="D9D9D9"/>
              <w:left w:val="single" w:sz="11" w:space="0" w:color="000000"/>
              <w:bottom w:val="single" w:sz="11" w:space="0" w:color="D9D9D9"/>
              <w:right w:val="single" w:sz="11" w:space="0" w:color="000000"/>
            </w:tcBorders>
            <w:shd w:val="clear" w:color="auto" w:fill="D9D9D9"/>
          </w:tcPr>
          <w:p w:rsidR="005A403E" w:rsidRDefault="00243B3E">
            <w:pPr>
              <w:ind w:right="47"/>
              <w:jc w:val="right"/>
            </w:pPr>
            <w:r>
              <w:rPr>
                <w:b/>
              </w:rPr>
              <w:t xml:space="preserve">Learning Area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</w:rPr>
              <w:t xml:space="preserve">English </w:t>
            </w:r>
          </w:p>
        </w:tc>
      </w:tr>
      <w:tr w:rsidR="005A403E">
        <w:trPr>
          <w:trHeight w:val="33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A403E" w:rsidRDefault="005A403E"/>
        </w:tc>
        <w:tc>
          <w:tcPr>
            <w:tcW w:w="2769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5A403E" w:rsidRDefault="00243B3E">
            <w:pPr>
              <w:ind w:right="54"/>
              <w:jc w:val="right"/>
            </w:pPr>
            <w:r>
              <w:rPr>
                <w:b/>
              </w:rPr>
              <w:t xml:space="preserve">Teaching Dates and Time 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</w:rPr>
              <w:t xml:space="preserve">Week 4 (June 26-30, 2017) </w:t>
            </w:r>
          </w:p>
        </w:tc>
        <w:tc>
          <w:tcPr>
            <w:tcW w:w="2648" w:type="dxa"/>
            <w:tcBorders>
              <w:top w:val="single" w:sz="11" w:space="0" w:color="D9D9D9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:rsidR="005A403E" w:rsidRDefault="00243B3E">
            <w:pPr>
              <w:ind w:right="49"/>
              <w:jc w:val="right"/>
            </w:pPr>
            <w:r>
              <w:rPr>
                <w:b/>
              </w:rPr>
              <w:t xml:space="preserve">Quarter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</w:rPr>
              <w:t xml:space="preserve">First </w:t>
            </w:r>
          </w:p>
        </w:tc>
      </w:tr>
    </w:tbl>
    <w:p w:rsidR="005A403E" w:rsidRDefault="00243B3E">
      <w:pPr>
        <w:spacing w:after="0"/>
        <w:ind w:left="-720"/>
        <w:jc w:val="both"/>
      </w:pPr>
      <w:r>
        <w:rPr>
          <w:sz w:val="16"/>
        </w:rPr>
        <w:t xml:space="preserve"> </w:t>
      </w:r>
    </w:p>
    <w:tbl>
      <w:tblPr>
        <w:tblStyle w:val="TableGrid"/>
        <w:tblW w:w="15394" w:type="dxa"/>
        <w:tblInd w:w="-827" w:type="dxa"/>
        <w:tblCellMar>
          <w:top w:w="23" w:type="dxa"/>
          <w:left w:w="105" w:type="dxa"/>
          <w:bottom w:w="6" w:type="dxa"/>
        </w:tblCellMar>
        <w:tblLook w:val="04A0" w:firstRow="1" w:lastRow="0" w:firstColumn="1" w:lastColumn="0" w:noHBand="0" w:noVBand="1"/>
      </w:tblPr>
      <w:tblGrid>
        <w:gridCol w:w="3635"/>
        <w:gridCol w:w="2317"/>
        <w:gridCol w:w="2412"/>
        <w:gridCol w:w="2412"/>
        <w:gridCol w:w="2265"/>
        <w:gridCol w:w="2353"/>
      </w:tblGrid>
      <w:tr w:rsidR="005A403E">
        <w:trPr>
          <w:trHeight w:val="277"/>
        </w:trPr>
        <w:tc>
          <w:tcPr>
            <w:tcW w:w="36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A403E" w:rsidRDefault="00243B3E">
            <w:pPr>
              <w:ind w:left="2"/>
            </w:pPr>
            <w:r>
              <w:t xml:space="preserve"> </w:t>
            </w:r>
          </w:p>
        </w:tc>
        <w:tc>
          <w:tcPr>
            <w:tcW w:w="2318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5A403E" w:rsidRDefault="00243B3E">
            <w:pPr>
              <w:ind w:right="107"/>
              <w:jc w:val="center"/>
            </w:pPr>
            <w:r>
              <w:rPr>
                <w:color w:val="FFFFFF"/>
              </w:rPr>
              <w:t xml:space="preserve">Monday </w:t>
            </w:r>
          </w:p>
        </w:tc>
        <w:tc>
          <w:tcPr>
            <w:tcW w:w="4823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5A403E" w:rsidRDefault="00243B3E">
            <w:pPr>
              <w:tabs>
                <w:tab w:val="center" w:pos="1096"/>
                <w:tab w:val="center" w:pos="3508"/>
              </w:tabs>
            </w:pPr>
            <w:r>
              <w:tab/>
            </w:r>
            <w:r>
              <w:rPr>
                <w:color w:val="FFFFFF"/>
              </w:rPr>
              <w:t xml:space="preserve">Tuesday </w:t>
            </w:r>
            <w:r>
              <w:rPr>
                <w:color w:val="FFFFFF"/>
              </w:rPr>
              <w:tab/>
              <w:t xml:space="preserve">Wednesday 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5A403E" w:rsidRDefault="00243B3E">
            <w:pPr>
              <w:tabs>
                <w:tab w:val="center" w:pos="1028"/>
                <w:tab w:val="center" w:pos="3334"/>
              </w:tabs>
            </w:pPr>
            <w:r>
              <w:tab/>
            </w:r>
            <w:r>
              <w:rPr>
                <w:color w:val="FFFFFF"/>
              </w:rPr>
              <w:t xml:space="preserve">Thursday </w:t>
            </w:r>
            <w:r>
              <w:rPr>
                <w:color w:val="FFFFFF"/>
              </w:rPr>
              <w:tab/>
              <w:t xml:space="preserve">Friday </w:t>
            </w:r>
          </w:p>
        </w:tc>
      </w:tr>
      <w:tr w:rsidR="005A403E">
        <w:trPr>
          <w:trHeight w:val="492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spacing w:after="100"/>
              <w:ind w:left="2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i/>
              </w:rPr>
              <w:t xml:space="preserve">I. OBJECTIVES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117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A403E" w:rsidRDefault="00243B3E">
            <w:pPr>
              <w:ind w:left="3"/>
            </w:pPr>
            <w:r>
              <w:t xml:space="preserve"> </w:t>
            </w:r>
          </w:p>
        </w:tc>
      </w:tr>
      <w:tr w:rsidR="005A403E">
        <w:trPr>
          <w:trHeight w:val="2428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</w:rPr>
              <w:t xml:space="preserve">A. Content Standards </w:t>
            </w:r>
          </w:p>
        </w:tc>
        <w:tc>
          <w:tcPr>
            <w:tcW w:w="117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spacing w:after="25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The learner demonstrates understanding ...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various verbal elements in orally communicating information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various non-verbal elements in orally communicating information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that English language is stress timed to support comprehension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text types to listen for different purposes from a variety of texts 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figurative language, word relationships and nuances in word meanings to develop word consciousness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various linguistics nodes to comprehend various texts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writing styles to comprehend the author’s message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the conventions of standard English grammar and usage when writing or speaking </w:t>
            </w:r>
          </w:p>
          <w:p w:rsidR="005A403E" w:rsidRDefault="00243B3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of the forms and conventions of print, non-print, and digital materials to understand various viewing texts </w:t>
            </w:r>
          </w:p>
        </w:tc>
      </w:tr>
      <w:tr w:rsidR="005A403E">
        <w:trPr>
          <w:trHeight w:val="3017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</w:rPr>
              <w:t xml:space="preserve">B. Performance Standards </w:t>
            </w:r>
          </w:p>
        </w:tc>
        <w:tc>
          <w:tcPr>
            <w:tcW w:w="117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A403E" w:rsidRDefault="00243B3E">
            <w:pPr>
              <w:spacing w:after="43"/>
              <w:ind w:left="3"/>
            </w:pPr>
            <w:r>
              <w:rPr>
                <w:rFonts w:ascii="Arial" w:eastAsia="Arial" w:hAnsi="Arial" w:cs="Arial"/>
                <w:sz w:val="20"/>
              </w:rPr>
              <w:t>The learner</w:t>
            </w:r>
            <w:r>
              <w:rPr>
                <w:rFonts w:ascii="Yu Gothic UI" w:eastAsia="Yu Gothic UI" w:hAnsi="Yu Gothic UI" w:cs="Yu Gothic UI"/>
                <w:sz w:val="20"/>
              </w:rPr>
              <w:t>…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orally communicates information, opinions, and ideas effectively to different audiences using a variety of literary activities 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reads with sufficient accuracy and fluency to support comprehension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uses linguistic cues to effectively construct meaning from a variety of texts for a variety of purposes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uses literal information from texts heard to construct an appropriate feedback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uses linguistic cues to appropriately construct meaning from a variety of texts for a variety of purposes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uses diction (choice of words) to accurately analyze author’s tone, mood, and point of view </w:t>
            </w:r>
          </w:p>
          <w:p w:rsidR="005A403E" w:rsidRDefault="00243B3E">
            <w:pPr>
              <w:numPr>
                <w:ilvl w:val="0"/>
                <w:numId w:val="2"/>
              </w:numPr>
              <w:spacing w:line="258" w:lineRule="auto"/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uses the correct function of nouns, pronouns, verbs, adjectives, and adverbs in general and their functions in various discourse (oral and written)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speaks and writes using good command of the conventions of standard English 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applies knowledge of non-verbal skills to respectfully give the speaker undivided attention and acknowledge the message </w:t>
            </w:r>
          </w:p>
          <w:p w:rsidR="005A403E" w:rsidRDefault="00243B3E">
            <w:pPr>
              <w:numPr>
                <w:ilvl w:val="0"/>
                <w:numId w:val="2"/>
              </w:numPr>
              <w:ind w:firstLine="72"/>
            </w:pPr>
            <w:r>
              <w:rPr>
                <w:rFonts w:ascii="Arial" w:eastAsia="Arial" w:hAnsi="Arial" w:cs="Arial"/>
                <w:sz w:val="20"/>
              </w:rPr>
              <w:t xml:space="preserve">applies knowledge of the various forms and conventions of print, non-print, and digital materials to appropriately comprehend print, non-print, film and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moving texts </w:t>
            </w:r>
          </w:p>
        </w:tc>
      </w:tr>
      <w:tr w:rsidR="005A403E">
        <w:trPr>
          <w:trHeight w:val="276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3" w:hanging="361"/>
            </w:pPr>
            <w:r>
              <w:rPr>
                <w:rFonts w:ascii="Arial" w:eastAsia="Arial" w:hAnsi="Arial" w:cs="Arial"/>
              </w:rPr>
              <w:lastRenderedPageBreak/>
              <w:t xml:space="preserve">C. Learning Competencies/Objectives Write the LC code for each. 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EN6LC-Id-2.11.1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EN6LC-Id-2.11.2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EN6LC-Id-2.11.3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Infer the speaker’s tone,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mood and purpose 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EN6V-Id-12.3.2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EN6V-Id-12.4.1.2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EN6V-Id-12.4.2.2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Infer meaning of figurative </w:t>
            </w:r>
          </w:p>
          <w:p w:rsidR="005A403E" w:rsidRDefault="00243B3E">
            <w:pPr>
              <w:ind w:left="3" w:right="41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language using  -context clues 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 w:right="3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EN6OL-Id-1.17 </w:t>
            </w:r>
            <w:r>
              <w:rPr>
                <w:rFonts w:ascii="Arial" w:eastAsia="Arial" w:hAnsi="Arial" w:cs="Arial"/>
                <w:sz w:val="20"/>
              </w:rPr>
              <w:t xml:space="preserve"> Relate an experience appropriate to the occasion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EN6RC-Id-6.8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EN6RC-Id-6.9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Analyze figures of speech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(simile, metaphor)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EN6A-Id-16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Observe politeness at all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EN6F-Id-1.6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spacing w:line="242" w:lineRule="auto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Read aloud grade level appropriate text with an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accuracy rate of 95-100%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EN6G-Id-3.3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spacing w:after="16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Compose clear and coherent sentences using appropriate grammatical structures: 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-aspects of verbs </w:t>
            </w:r>
            <w: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spacing w:after="183" w:line="239" w:lineRule="auto"/>
              <w:ind w:right="2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EN6G-Id-3.3 </w:t>
            </w:r>
            <w:r>
              <w:rPr>
                <w:rFonts w:ascii="Arial" w:eastAsia="Arial" w:hAnsi="Arial" w:cs="Arial"/>
                <w:sz w:val="20"/>
              </w:rPr>
              <w:t xml:space="preserve"> Compose clear and coherent sentences using appropriate grammatical structures:  -aspects of verbs  </w:t>
            </w:r>
          </w:p>
          <w:p w:rsidR="005A403E" w:rsidRDefault="00243B3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spacing w:after="16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EN6VC-Id-5.1.4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spacing w:after="3" w:line="239" w:lineRule="auto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Describe different forms and conventions of film and moving pictures (characterization) 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A403E" w:rsidRDefault="005A403E">
      <w:pPr>
        <w:spacing w:after="0"/>
        <w:ind w:left="-1440" w:right="15396"/>
      </w:pPr>
    </w:p>
    <w:tbl>
      <w:tblPr>
        <w:tblStyle w:val="TableGrid"/>
        <w:tblW w:w="15393" w:type="dxa"/>
        <w:tblInd w:w="-827" w:type="dxa"/>
        <w:tblCellMar>
          <w:top w:w="14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3635"/>
        <w:gridCol w:w="2319"/>
        <w:gridCol w:w="2410"/>
        <w:gridCol w:w="2411"/>
        <w:gridCol w:w="2267"/>
        <w:gridCol w:w="2351"/>
      </w:tblGrid>
      <w:tr w:rsidR="005A403E">
        <w:trPr>
          <w:trHeight w:val="253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5A403E"/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-affixes and roots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-other strategies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EN6A-Id-16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Observe politeness at all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times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EN6A-Id-17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spacing w:after="4" w:line="23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Show tactfulness when communicating with others 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EN6A-Id-18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Show openness to criticism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times  </w:t>
            </w:r>
          </w:p>
          <w:p w:rsidR="005A403E" w:rsidRDefault="00243B3E">
            <w:r>
              <w:rPr>
                <w:rFonts w:ascii="Arial" w:eastAsia="Arial" w:hAnsi="Arial" w:cs="Arial"/>
                <w:b/>
                <w:sz w:val="20"/>
              </w:rPr>
              <w:t xml:space="preserve">EN6A-Id-17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spacing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Show tactfulness when communicating with others  </w:t>
            </w:r>
          </w:p>
          <w:p w:rsidR="005A403E" w:rsidRDefault="00243B3E">
            <w:r>
              <w:rPr>
                <w:rFonts w:ascii="Arial" w:eastAsia="Arial" w:hAnsi="Arial" w:cs="Arial"/>
                <w:b/>
                <w:sz w:val="20"/>
              </w:rPr>
              <w:t xml:space="preserve">EN6A-Id-18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Show openness to criticism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5A403E"/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5A403E"/>
        </w:tc>
      </w:tr>
      <w:tr w:rsidR="005A403E">
        <w:trPr>
          <w:trHeight w:val="138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  <w:b/>
                <w:i/>
              </w:rPr>
              <w:t xml:space="preserve">II. CONTENT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Speaker’s Tone and Mood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Meaning of Figurative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Language; Idioms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Story: “</w:t>
            </w:r>
            <w:r>
              <w:rPr>
                <w:rFonts w:ascii="Arial" w:eastAsia="Arial" w:hAnsi="Arial" w:cs="Arial"/>
                <w:i/>
                <w:sz w:val="20"/>
              </w:rPr>
              <w:t xml:space="preserve">Why Mosquitoes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Buzz in People’s Ears” by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Verna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Aardema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>Story: “</w:t>
            </w:r>
            <w:r>
              <w:rPr>
                <w:rFonts w:ascii="Arial" w:eastAsia="Arial" w:hAnsi="Arial" w:cs="Arial"/>
                <w:i/>
                <w:sz w:val="20"/>
              </w:rPr>
              <w:t xml:space="preserve">Why Mosquitoes Buzz </w:t>
            </w:r>
          </w:p>
          <w:p w:rsidR="005A403E" w:rsidRDefault="00243B3E">
            <w:r>
              <w:rPr>
                <w:rFonts w:ascii="Arial" w:eastAsia="Arial" w:hAnsi="Arial" w:cs="Arial"/>
                <w:i/>
                <w:sz w:val="20"/>
              </w:rPr>
              <w:t xml:space="preserve">in People’s Ears” by Verna </w:t>
            </w:r>
          </w:p>
          <w:p w:rsidR="005A403E" w:rsidRDefault="00243B3E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Aardema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Figures of Speech: Simile and </w:t>
            </w:r>
          </w:p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Metaphor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 w:right="8"/>
            </w:pPr>
            <w:r>
              <w:rPr>
                <w:rFonts w:ascii="Arial" w:eastAsia="Arial" w:hAnsi="Arial" w:cs="Arial"/>
                <w:sz w:val="20"/>
              </w:rPr>
              <w:t xml:space="preserve">Aspects of Verbs: Past Perfect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Aspects of Verbs: Present Perfect and Future Perfect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Different Forms and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Conventions of Film and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Moving Pictures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(characterization) </w:t>
            </w:r>
          </w:p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398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spacing w:after="141"/>
              <w:ind w:left="1"/>
            </w:pPr>
            <w:r>
              <w:rPr>
                <w:rFonts w:ascii="Arial" w:eastAsia="Arial" w:hAnsi="Arial" w:cs="Arial"/>
                <w:b/>
                <w:i/>
                <w:sz w:val="6"/>
              </w:rPr>
              <w:t xml:space="preserve"> </w:t>
            </w:r>
          </w:p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  <w:b/>
                <w:i/>
              </w:rPr>
              <w:t xml:space="preserve">III. LEARNING RESOURCES </w:t>
            </w:r>
          </w:p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6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272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</w:rPr>
              <w:t xml:space="preserve">A. References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277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2"/>
            </w:pPr>
            <w:r>
              <w:rPr>
                <w:rFonts w:ascii="Arial" w:eastAsia="Arial" w:hAnsi="Arial" w:cs="Arial"/>
              </w:rPr>
              <w:t xml:space="preserve">1. Teacher’s Guide pages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280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2"/>
            </w:pPr>
            <w:r>
              <w:rPr>
                <w:rFonts w:ascii="Arial" w:eastAsia="Arial" w:hAnsi="Arial" w:cs="Arial"/>
              </w:rPr>
              <w:lastRenderedPageBreak/>
              <w:t xml:space="preserve">2. Learner’s Materials pages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280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2"/>
            </w:pPr>
            <w:r>
              <w:rPr>
                <w:rFonts w:ascii="Arial" w:eastAsia="Arial" w:hAnsi="Arial" w:cs="Arial"/>
              </w:rPr>
              <w:t xml:space="preserve">3. Textbook pages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51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2"/>
            </w:pPr>
            <w:r>
              <w:rPr>
                <w:rFonts w:ascii="Arial" w:eastAsia="Arial" w:hAnsi="Arial" w:cs="Arial"/>
              </w:rPr>
              <w:t xml:space="preserve">4. Additional Materials from </w:t>
            </w:r>
          </w:p>
          <w:p w:rsidR="005A403E" w:rsidRDefault="00243B3E">
            <w:pPr>
              <w:ind w:left="722"/>
            </w:pPr>
            <w:r>
              <w:rPr>
                <w:rFonts w:ascii="Arial" w:eastAsia="Arial" w:hAnsi="Arial" w:cs="Arial"/>
              </w:rPr>
              <w:t xml:space="preserve">Learning Resource (LR) portal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Activity Sheets in English 6 (Quarter 1:Week 4-Day1)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Activity Sheets in English 6 (Quarter 1:Week 4-Day 2)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Activity Sheets in English 6 (Quarter 1:Week 4-Day 3)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Activity Sheets in English 6 (Quarter 1:Week 4-Day 4)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Activity Sheets in English 6 (Quarter 1:Week 4-Day 5) </w:t>
            </w:r>
          </w:p>
        </w:tc>
      </w:tr>
      <w:tr w:rsidR="005A403E">
        <w:trPr>
          <w:trHeight w:val="325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</w:rPr>
              <w:t xml:space="preserve">B. Other Learning Resources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49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spacing w:after="104"/>
              <w:ind w:left="1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  <w:b/>
                <w:i/>
              </w:rPr>
              <w:t xml:space="preserve">IV. PROCEDURES </w:t>
            </w:r>
          </w:p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81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2" w:hanging="361"/>
              <w:jc w:val="both"/>
            </w:pPr>
            <w:r>
              <w:rPr>
                <w:rFonts w:ascii="Arial" w:eastAsia="Arial" w:hAnsi="Arial" w:cs="Arial"/>
              </w:rPr>
              <w:t xml:space="preserve">A. Reviewing previous lesson or presenting the new lesson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Recall pp. 1-2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Recall pp. 1-2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Let’s Practice Fluency p. 1 Let’s Recall p. 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Recall pp. 1-2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Recall pp. 1-2 </w:t>
            </w:r>
          </w:p>
        </w:tc>
      </w:tr>
      <w:tr w:rsidR="005A403E">
        <w:trPr>
          <w:trHeight w:val="54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1"/>
            </w:pPr>
            <w:r>
              <w:rPr>
                <w:rFonts w:ascii="Arial" w:eastAsia="Arial" w:hAnsi="Arial" w:cs="Arial"/>
              </w:rPr>
              <w:t xml:space="preserve">B. Establishing a purpose for the lesson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Try This (A) pp. 2-3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81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2" w:hanging="361"/>
            </w:pPr>
            <w:r>
              <w:rPr>
                <w:rFonts w:ascii="Arial" w:eastAsia="Arial" w:hAnsi="Arial" w:cs="Arial"/>
              </w:rPr>
              <w:t xml:space="preserve">C. Presenting examples/instances of the new lesson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Try This (B, C &amp; D) p. 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Try This p. 2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Try This pp. 2-3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Try This p. 2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Try This p. 2 </w:t>
            </w:r>
          </w:p>
        </w:tc>
      </w:tr>
      <w:tr w:rsidR="005A403E">
        <w:trPr>
          <w:trHeight w:val="808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2" w:hanging="361"/>
              <w:jc w:val="both"/>
            </w:pPr>
            <w:r>
              <w:rPr>
                <w:rFonts w:ascii="Arial" w:eastAsia="Arial" w:hAnsi="Arial" w:cs="Arial"/>
              </w:rPr>
              <w:t xml:space="preserve">D. Discussing new concepts and practicing new skills #1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Study This pp. 4-5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Study This pp 2-3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Study This pp. 3-5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Study This pp. 2-4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Let’s Study This pp. 3-4 </w:t>
            </w:r>
          </w:p>
        </w:tc>
      </w:tr>
      <w:tr w:rsidR="005A403E">
        <w:trPr>
          <w:trHeight w:val="815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4" w:hanging="361"/>
              <w:jc w:val="both"/>
            </w:pPr>
            <w:r>
              <w:rPr>
                <w:rFonts w:ascii="Arial" w:eastAsia="Arial" w:hAnsi="Arial" w:cs="Arial"/>
              </w:rPr>
              <w:t xml:space="preserve">E. Discussing new concepts and practicing new skills #2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Let’s Do This pp. 5-6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Do This pp. 3-4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Do This p. 5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Do This p. 4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Do This pp. 4-5 </w:t>
            </w:r>
          </w:p>
        </w:tc>
      </w:tr>
      <w:tr w:rsidR="005A403E">
        <w:trPr>
          <w:trHeight w:val="809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4" w:hanging="361"/>
            </w:pPr>
            <w:r>
              <w:rPr>
                <w:rFonts w:ascii="Arial" w:eastAsia="Arial" w:hAnsi="Arial" w:cs="Arial"/>
              </w:rPr>
              <w:t xml:space="preserve">F. Developing mastery (leads to Formative Assessment 3)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Let’s Do More pp. 6-7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Do More pp. 4-5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Do More p. 6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Do More p. 5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Lets’Do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More pp. 5-6 </w:t>
            </w:r>
          </w:p>
        </w:tc>
      </w:tr>
      <w:tr w:rsidR="005A403E">
        <w:trPr>
          <w:trHeight w:val="820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4" w:hanging="361"/>
              <w:jc w:val="both"/>
            </w:pPr>
            <w:r>
              <w:rPr>
                <w:rFonts w:ascii="Arial" w:eastAsia="Arial" w:hAnsi="Arial" w:cs="Arial"/>
              </w:rPr>
              <w:t xml:space="preserve">G. Finding practical applications of concepts and skills in daily living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809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4" w:hanging="361"/>
              <w:jc w:val="both"/>
            </w:pPr>
            <w:r>
              <w:rPr>
                <w:rFonts w:ascii="Arial" w:eastAsia="Arial" w:hAnsi="Arial" w:cs="Arial"/>
              </w:rPr>
              <w:t xml:space="preserve">H. Making generalizations and abstractions about the lesson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Let’s Remember  p. 7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Remember p. 5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Remember pp. 6-7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Remember p. 6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Remember p. 6 </w:t>
            </w:r>
          </w:p>
        </w:tc>
      </w:tr>
      <w:tr w:rsidR="005A403E">
        <w:trPr>
          <w:trHeight w:val="51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tabs>
                <w:tab w:val="center" w:pos="1131"/>
              </w:tabs>
            </w:pPr>
            <w:r>
              <w:rPr>
                <w:rFonts w:ascii="Arial" w:eastAsia="Arial" w:hAnsi="Arial" w:cs="Arial"/>
              </w:rPr>
              <w:t xml:space="preserve">I. </w:t>
            </w:r>
            <w:r>
              <w:rPr>
                <w:rFonts w:ascii="Arial" w:eastAsia="Arial" w:hAnsi="Arial" w:cs="Arial"/>
              </w:rPr>
              <w:tab/>
              <w:t xml:space="preserve">Evaluating learning </w:t>
            </w:r>
          </w:p>
          <w:p w:rsidR="005A403E" w:rsidRDefault="00243B3E">
            <w:pPr>
              <w:ind w:left="36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Let’s Test Ourselves  pp. 7-8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Let’s Test Ourselves pp. 5-6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Test Ourselves pp. 6-7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Lets’ Test Ourselves p. 6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Let’s Test Ourselves p. 7 </w:t>
            </w:r>
          </w:p>
        </w:tc>
      </w:tr>
      <w:tr w:rsidR="005A403E">
        <w:trPr>
          <w:trHeight w:val="81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64" w:hanging="361"/>
            </w:pPr>
            <w:r>
              <w:rPr>
                <w:rFonts w:ascii="Arial" w:eastAsia="Arial" w:hAnsi="Arial" w:cs="Arial"/>
              </w:rPr>
              <w:lastRenderedPageBreak/>
              <w:t xml:space="preserve">J. Additional activities for application or remediation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677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i/>
              </w:rPr>
              <w:t xml:space="preserve">V. REMARKS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492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spacing w:after="104"/>
              <w:ind w:left="3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i/>
              </w:rPr>
              <w:t xml:space="preserve">VI. REFLECTION </w:t>
            </w:r>
          </w:p>
          <w:p w:rsidR="005A403E" w:rsidRDefault="00243B3E">
            <w:pPr>
              <w:ind w:left="3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512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right="17" w:hanging="361"/>
            </w:pPr>
            <w:r>
              <w:rPr>
                <w:rFonts w:ascii="Arial" w:eastAsia="Arial" w:hAnsi="Arial" w:cs="Arial"/>
              </w:rPr>
              <w:t xml:space="preserve">A. No. of learners who earned 80% in the evaluation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51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hanging="361"/>
            </w:pPr>
            <w:r>
              <w:rPr>
                <w:rFonts w:ascii="Arial" w:eastAsia="Arial" w:hAnsi="Arial" w:cs="Arial"/>
              </w:rPr>
              <w:t xml:space="preserve">B. No. of learners who require additional activities for remediation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768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hanging="361"/>
            </w:pPr>
            <w:r>
              <w:rPr>
                <w:rFonts w:ascii="Arial" w:eastAsia="Arial" w:hAnsi="Arial" w:cs="Arial"/>
              </w:rPr>
              <w:t xml:space="preserve">C. Did the remedial lessons work? No. of learners who have caught up with the lesson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517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hanging="361"/>
              <w:jc w:val="both"/>
            </w:pPr>
            <w:r>
              <w:rPr>
                <w:rFonts w:ascii="Arial" w:eastAsia="Arial" w:hAnsi="Arial" w:cs="Arial"/>
              </w:rPr>
              <w:t xml:space="preserve">D. No. of learners who continue to require remediation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512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hanging="361"/>
              <w:jc w:val="both"/>
            </w:pPr>
            <w:r>
              <w:rPr>
                <w:rFonts w:ascii="Arial" w:eastAsia="Arial" w:hAnsi="Arial" w:cs="Arial"/>
              </w:rPr>
              <w:t xml:space="preserve">E. Which of my teaching strategies worked well? Why did these work?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768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right="10" w:hanging="361"/>
            </w:pPr>
            <w:r>
              <w:rPr>
                <w:rFonts w:ascii="Arial" w:eastAsia="Arial" w:hAnsi="Arial" w:cs="Arial"/>
              </w:rPr>
              <w:t xml:space="preserve">F. What difficulties did I encounter which my principal or supervisor can help me solve?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403E">
        <w:trPr>
          <w:trHeight w:val="768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5A403E" w:rsidRDefault="00243B3E">
            <w:pPr>
              <w:ind w:left="364" w:hanging="361"/>
            </w:pPr>
            <w:r>
              <w:rPr>
                <w:rFonts w:ascii="Arial" w:eastAsia="Arial" w:hAnsi="Arial" w:cs="Arial"/>
              </w:rPr>
              <w:t xml:space="preserve">G. What innovation or localized materials did I use/discover which I wish to share with other teachers?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403E" w:rsidRDefault="00243B3E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A403E" w:rsidRDefault="00243B3E">
      <w:pPr>
        <w:spacing w:after="0"/>
        <w:ind w:left="-720"/>
        <w:jc w:val="both"/>
      </w:pPr>
      <w:r>
        <w:t xml:space="preserve"> </w:t>
      </w:r>
    </w:p>
    <w:sectPr w:rsidR="005A403E">
      <w:pgSz w:w="16836" w:h="11908" w:orient="landscape"/>
      <w:pgMar w:top="725" w:right="1440" w:bottom="7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48F1"/>
    <w:multiLevelType w:val="hybridMultilevel"/>
    <w:tmpl w:val="3322E5B2"/>
    <w:lvl w:ilvl="0" w:tplc="8B441BEA">
      <w:start w:val="1"/>
      <w:numFmt w:val="bullet"/>
      <w:lvlText w:val="•"/>
      <w:lvlJc w:val="left"/>
      <w:pPr>
        <w:ind w:left="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226544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AF666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4F7FE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6307A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E8018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22430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CCF08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0AA88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3E65D3"/>
    <w:multiLevelType w:val="hybridMultilevel"/>
    <w:tmpl w:val="1DB87212"/>
    <w:lvl w:ilvl="0" w:tplc="9BB6FF18">
      <w:start w:val="1"/>
      <w:numFmt w:val="bullet"/>
      <w:lvlText w:val="•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63BC6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05C6A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C4EB4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C1426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23036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AC53A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F46E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C41F6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E"/>
    <w:rsid w:val="00243B3E"/>
    <w:rsid w:val="002C1E10"/>
    <w:rsid w:val="005A403E"/>
    <w:rsid w:val="00B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User4</cp:lastModifiedBy>
  <cp:revision>2</cp:revision>
  <dcterms:created xsi:type="dcterms:W3CDTF">2017-06-10T06:37:00Z</dcterms:created>
  <dcterms:modified xsi:type="dcterms:W3CDTF">2017-06-10T06:37:00Z</dcterms:modified>
</cp:coreProperties>
</file>